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rPr>
          <w:trHeight w:val="80" w:hRule="exact"/>
        </w:trPr>
        <w:tc>
          <w:tcPr>
            <w:tcW w:type="dxa" w:w="9360"/>
            <w:shd w:val="clear" w:color="auto" w:fill="16A34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before="0"/>
            </w:pPr>
            <w:r>
              <w:rPr>
                <w:sz w:val="4"/>
              </w:rPr>
            </w:r>
          </w:p>
        </w:tc>
      </w:tr>
    </w:tbl>
    <w:p>
      <w:pPr>
        <w:spacing w:before="360" w:after="40"/>
      </w:pPr>
      <w:r>
        <w:rPr>
          <w:b/>
          <w:color w:val="16A34A"/>
          <w:sz w:val="20"/>
        </w:rPr>
        <w:t>AGENT REFERENCE</w:t>
      </w:r>
    </w:p>
    <w:p>
      <w:pPr>
        <w:spacing w:after="40"/>
      </w:pPr>
      <w:r>
        <w:rPr>
          <w:b/>
          <w:color w:val="0F1B14"/>
          <w:sz w:val="56"/>
        </w:rPr>
        <w:t>Enrollment Instructions</w:t>
      </w:r>
    </w:p>
    <w:p>
      <w:pPr>
        <w:spacing w:after="280"/>
      </w:pPr>
      <w:r>
        <w:rPr>
          <w:color w:val="6B7A6F"/>
          <w:sz w:val="22"/>
        </w:rPr>
        <w:t>Securus → THP/Cigna · Member Communications Guide</w:t>
      </w:r>
    </w:p>
    <w:p>
      <w:pPr>
        <w:spacing w:before="0" w:after="160"/>
        <w:pBdr>
          <w:bottom w:val="single" w:sz="6" w:space="1" w:color="CDE9D7"/>
        </w:pBdr>
      </w:pPr>
    </w:p>
    <w:p>
      <w:pPr>
        <w:spacing w:line="336" w:lineRule="auto" w:after="280"/>
      </w:pPr>
      <w:r>
        <w:rPr>
          <w:color w:val="2E3A33"/>
          <w:sz w:val="22"/>
        </w:rPr>
        <w:t xml:space="preserve">This guide walks you through the two emails your member will receive and the role you play at each step. Both emails come from </w:t>
      </w:r>
      <w:r>
        <w:rPr>
          <w:b/>
          <w:color w:val="0F1B14"/>
          <w:sz w:val="22"/>
        </w:rPr>
        <w:t>Enroll Prime</w:t>
      </w:r>
      <w:r>
        <w:rPr>
          <w:color w:val="2E3A33"/>
          <w:sz w:val="22"/>
        </w:rPr>
        <w:t>; your job is to help the member review their options and confirm their enrollment.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40"/>
        <w:gridCol w:w="8784"/>
      </w:tblGrid>
      <w:tr>
        <w:tc>
          <w:tcPr>
            <w:tcW w:type="dxa" w:w="1440"/>
            <w:shd w:val="clear" w:color="auto" w:fill="16A34A"/>
            <w:tcBorders>
              <w:top w:val="single" w:sz="4" w:color="0B5C32"/>
              <w:left w:val="single" w:sz="4" w:color="0B5C32"/>
              <w:bottom w:val="single" w:sz="4" w:color="0B5C32"/>
              <w:right w:val="single" w:sz="4" w:color="0B5C32"/>
            </w:tcBorders>
          </w:tcPr>
          <w:p>
            <w:pPr>
              <w:spacing w:before="280" w:after="280"/>
              <w:jc w:val="center"/>
            </w:pPr>
            <w:r>
              <w:rPr>
                <w:b/>
                <w:color w:val="FFFFFF"/>
                <w:sz w:val="22"/>
              </w:rPr>
              <w:t>STEP 1</w:t>
            </w:r>
          </w:p>
        </w:tc>
        <w:tc>
          <w:tcPr>
            <w:tcW w:type="dxa" w:w="8784"/>
            <w:shd w:val="clear" w:color="auto" w:fill="FAFCFA"/>
            <w:tcBorders>
              <w:top w:val="single" w:sz="4" w:color="CDE9D7"/>
              <w:left w:val="single" w:sz="4" w:color="CDE9D7"/>
              <w:bottom w:val="single" w:sz="4" w:color="CDE9D7"/>
              <w:right w:val="single" w:sz="4" w:color="CDE9D7"/>
            </w:tcBorders>
          </w:tcPr>
          <w:p>
            <w:pPr>
              <w:spacing w:before="160" w:after="40"/>
            </w:pPr>
            <w:r>
              <w:rPr>
                <w:b/>
                <w:color w:val="0F1B14"/>
                <w:sz w:val="26"/>
              </w:rPr>
              <w:t>Review letter &amp; benefits with your member.</w:t>
            </w:r>
          </w:p>
          <w:p>
            <w:pPr>
              <w:spacing w:after="160"/>
            </w:pPr>
            <w:r>
              <w:rPr>
                <w:color w:val="2E3A33"/>
                <w:sz w:val="21"/>
              </w:rPr>
              <w:t>Walk the member through the CIGNA Network Option email so they understand the choice they're being offered.</w:t>
            </w:r>
          </w:p>
        </w:tc>
      </w:tr>
      <w:tr>
        <w:tc>
          <w:tcPr>
            <w:tcW w:type="dxa" w:w="1440"/>
            <w:shd w:val="clear" w:color="auto" w:fill="16A34A"/>
            <w:tcBorders>
              <w:top w:val="single" w:sz="4" w:color="0B5C32"/>
              <w:left w:val="single" w:sz="4" w:color="0B5C32"/>
              <w:bottom w:val="single" w:sz="4" w:color="0B5C32"/>
              <w:right w:val="single" w:sz="4" w:color="0B5C32"/>
            </w:tcBorders>
          </w:tcPr>
          <w:p>
            <w:pPr>
              <w:spacing w:before="280" w:after="280"/>
              <w:jc w:val="center"/>
            </w:pPr>
            <w:r>
              <w:rPr>
                <w:b/>
                <w:color w:val="FFFFFF"/>
                <w:sz w:val="22"/>
              </w:rPr>
              <w:t>STEP 2</w:t>
            </w:r>
          </w:p>
        </w:tc>
        <w:tc>
          <w:tcPr>
            <w:tcW w:type="dxa" w:w="8784"/>
            <w:shd w:val="clear" w:color="auto" w:fill="FAFCFA"/>
            <w:tcBorders>
              <w:top w:val="single" w:sz="4" w:color="CDE9D7"/>
              <w:left w:val="single" w:sz="4" w:color="CDE9D7"/>
              <w:bottom w:val="single" w:sz="4" w:color="CDE9D7"/>
              <w:right w:val="single" w:sz="4" w:color="CDE9D7"/>
            </w:tcBorders>
          </w:tcPr>
          <w:p>
            <w:pPr>
              <w:spacing w:before="160" w:after="40"/>
            </w:pPr>
            <w:r>
              <w:rPr>
                <w:b/>
                <w:color w:val="0F1B14"/>
                <w:sz w:val="26"/>
              </w:rPr>
              <w:t>Have member click the enrollment link to sign the application.</w:t>
            </w:r>
          </w:p>
          <w:p>
            <w:pPr>
              <w:spacing w:after="160"/>
            </w:pPr>
            <w:r>
              <w:rPr>
                <w:color w:val="2E3A33"/>
                <w:sz w:val="21"/>
              </w:rPr>
              <w:t>After review, the member clicks the link in the first email to sign their Ascend application.</w:t>
            </w:r>
          </w:p>
        </w:tc>
      </w:tr>
      <w:tr>
        <w:tc>
          <w:tcPr>
            <w:tcW w:type="dxa" w:w="1440"/>
            <w:shd w:val="clear" w:color="auto" w:fill="16A34A"/>
            <w:tcBorders>
              <w:top w:val="single" w:sz="4" w:color="0B5C32"/>
              <w:left w:val="single" w:sz="4" w:color="0B5C32"/>
              <w:bottom w:val="single" w:sz="4" w:color="0B5C32"/>
              <w:right w:val="single" w:sz="4" w:color="0B5C32"/>
            </w:tcBorders>
          </w:tcPr>
          <w:p>
            <w:pPr>
              <w:spacing w:before="280" w:after="280"/>
              <w:jc w:val="center"/>
            </w:pPr>
            <w:r>
              <w:rPr>
                <w:b/>
                <w:color w:val="FFFFFF"/>
                <w:sz w:val="22"/>
              </w:rPr>
              <w:t>STEP 3</w:t>
            </w:r>
          </w:p>
        </w:tc>
        <w:tc>
          <w:tcPr>
            <w:tcW w:type="dxa" w:w="8784"/>
            <w:shd w:val="clear" w:color="auto" w:fill="FAFCFA"/>
            <w:tcBorders>
              <w:top w:val="single" w:sz="4" w:color="CDE9D7"/>
              <w:left w:val="single" w:sz="4" w:color="CDE9D7"/>
              <w:bottom w:val="single" w:sz="4" w:color="CDE9D7"/>
              <w:right w:val="single" w:sz="4" w:color="CDE9D7"/>
            </w:tcBorders>
          </w:tcPr>
          <w:p>
            <w:pPr>
              <w:spacing w:before="160" w:after="40"/>
            </w:pPr>
            <w:r>
              <w:rPr>
                <w:b/>
                <w:color w:val="0F1B14"/>
                <w:sz w:val="26"/>
              </w:rPr>
              <w:t>After signing, the member receives the Additional Steps email — guide them to reply with the option that best works for them.</w:t>
            </w:r>
          </w:p>
          <w:p>
            <w:pPr>
              <w:spacing w:after="160"/>
            </w:pPr>
            <w:r>
              <w:rPr>
                <w:color w:val="2E3A33"/>
                <w:sz w:val="21"/>
              </w:rPr>
              <w:t>Help the member choose Option 1 (term 5/31, start 6/1) or Option 2 (term 4/30, start 5/1) and reply to that email.</w:t>
            </w:r>
          </w:p>
        </w:tc>
      </w:tr>
    </w:tbl>
    <w:p>
      <w:r>
        <w:br w:type="page"/>
      </w:r>
    </w:p>
    <w:p>
      <w:pPr>
        <w:spacing w:after="40"/>
      </w:pPr>
      <w:r>
        <w:rPr>
          <w:b/>
          <w:color w:val="16A34A"/>
          <w:sz w:val="20"/>
        </w:rPr>
        <w:t>EMAIL #1 SENT TO MEMBER</w:t>
      </w:r>
    </w:p>
    <w:p>
      <w:pPr>
        <w:spacing w:after="80"/>
      </w:pPr>
      <w:r>
        <w:rPr>
          <w:b/>
          <w:color w:val="0F1B14"/>
          <w:sz w:val="32"/>
        </w:rPr>
        <w:t>Available CIGNA Network Option</w:t>
      </w:r>
    </w:p>
    <w:p>
      <w:pPr>
        <w:spacing w:after="280" w:line="336" w:lineRule="auto"/>
      </w:pPr>
      <w:r>
        <w:rPr>
          <w:color w:val="2E3A33"/>
          <w:sz w:val="21"/>
        </w:rPr>
        <w:t xml:space="preserve">When the member receives this email, they're being offered a choice: stay with Securus / First Health Network, or move to Ascend / Cigna at the same price. </w:t>
      </w:r>
      <w:r>
        <w:rPr>
          <w:b/>
          <w:color w:val="0F1B14"/>
          <w:sz w:val="21"/>
        </w:rPr>
        <w:t xml:space="preserve">Your role: </w:t>
      </w:r>
      <w:r>
        <w:rPr>
          <w:color w:val="2E3A33"/>
          <w:sz w:val="21"/>
        </w:rPr>
        <w:t>walk them through the comparison and help them decide.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AFCFA"/>
            <w:tcBorders>
              <w:top w:val="single" w:sz="4" w:color="CDE9D7"/>
              <w:right w:val="single" w:sz="4" w:color="CDE9D7"/>
              <w:bottom w:val="single" w:sz="4" w:color="CDE9D7"/>
              <w:left w:val="single" w:sz="24" w:color="16A34A"/>
            </w:tcBorders>
          </w:tcPr>
          <w:p>
            <w:pPr>
              <w:spacing w:before="160" w:after="40"/>
            </w:pPr>
            <w:r>
              <w:rPr>
                <w:b/>
                <w:color w:val="0B5C32"/>
                <w:sz w:val="18"/>
              </w:rPr>
              <w:t>STEP 1</w:t>
            </w:r>
          </w:p>
          <w:p>
            <w:pPr>
              <w:spacing w:after="80"/>
            </w:pPr>
            <w:r>
              <w:rPr>
                <w:b/>
                <w:color w:val="0F1B14"/>
                <w:sz w:val="24"/>
              </w:rPr>
              <w:t>Review letter &amp; benefits with your member.</w:t>
            </w:r>
          </w:p>
          <w:p>
            <w:pPr>
              <w:spacing w:line="324" w:lineRule="auto" w:after="120"/>
            </w:pPr>
            <w:r>
              <w:rPr>
                <w:color w:val="2E3A33"/>
                <w:sz w:val="21"/>
              </w:rPr>
              <w:t>Open the email together (or share screen). Walk through the plan comparison: HC Data / First Health Network vs Ascend / Cigna. Confirm the member's preferred providers are in the network they want.</w:t>
            </w:r>
          </w:p>
        </w:tc>
      </w:tr>
    </w:tbl>
    <w:p>
      <w:pPr>
        <w:spacing w:after="1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AFCFA"/>
            <w:tcBorders>
              <w:top w:val="single" w:sz="4" w:color="CDE9D7"/>
              <w:right w:val="single" w:sz="4" w:color="CDE9D7"/>
              <w:bottom w:val="single" w:sz="4" w:color="CDE9D7"/>
              <w:left w:val="single" w:sz="24" w:color="16A34A"/>
            </w:tcBorders>
          </w:tcPr>
          <w:p>
            <w:pPr>
              <w:spacing w:before="160" w:after="40"/>
            </w:pPr>
            <w:r>
              <w:rPr>
                <w:b/>
                <w:color w:val="0B5C32"/>
                <w:sz w:val="18"/>
              </w:rPr>
              <w:t>STEP 2</w:t>
            </w:r>
          </w:p>
          <w:p>
            <w:pPr>
              <w:spacing w:after="80"/>
            </w:pPr>
            <w:r>
              <w:rPr>
                <w:b/>
                <w:color w:val="0F1B14"/>
                <w:sz w:val="24"/>
              </w:rPr>
              <w:t>Have the member click the enrollment link to sign.</w:t>
            </w:r>
          </w:p>
          <w:p>
            <w:pPr>
              <w:spacing w:line="324" w:lineRule="auto" w:after="120"/>
            </w:pPr>
            <w:r>
              <w:rPr>
                <w:color w:val="2E3A33"/>
                <w:sz w:val="21"/>
              </w:rPr>
              <w:t>If the member chooses Ascend, the link in the email opens their signature workflow. They must sign before May 25, 2026. Optional: if signed by May 10, they can backdate to May 1.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spacing w:after="40"/>
      </w:pPr>
      <w:r>
        <w:rPr>
          <w:b/>
          <w:color w:val="16A34A"/>
          <w:sz w:val="20"/>
        </w:rPr>
        <w:t>EMAIL #2 SENT TO MEMBER</w:t>
      </w:r>
    </w:p>
    <w:p>
      <w:pPr>
        <w:spacing w:after="80"/>
      </w:pPr>
      <w:r>
        <w:rPr>
          <w:b/>
          <w:color w:val="0F1B14"/>
          <w:sz w:val="32"/>
        </w:rPr>
        <w:t>Additional Steps Required</w:t>
      </w:r>
    </w:p>
    <w:p>
      <w:pPr>
        <w:spacing w:after="280" w:line="336" w:lineRule="auto"/>
      </w:pPr>
      <w:r>
        <w:rPr>
          <w:color w:val="2E3A33"/>
          <w:sz w:val="21"/>
        </w:rPr>
        <w:t xml:space="preserve">After the member signs, they receive this follow-up email asking them to terminate their current plan. </w:t>
      </w:r>
      <w:r>
        <w:rPr>
          <w:b/>
          <w:color w:val="0F1B14"/>
          <w:sz w:val="21"/>
        </w:rPr>
        <w:t xml:space="preserve">Your role: </w:t>
      </w:r>
      <w:r>
        <w:rPr>
          <w:color w:val="2E3A33"/>
          <w:sz w:val="21"/>
        </w:rPr>
        <w:t>guide the member to reply with Option 1 or Option 2.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val="clear" w:color="auto" w:fill="FAFCFA"/>
            <w:tcBorders>
              <w:top w:val="single" w:sz="4" w:color="CDE9D7"/>
              <w:right w:val="single" w:sz="4" w:color="CDE9D7"/>
              <w:bottom w:val="single" w:sz="4" w:color="CDE9D7"/>
              <w:left w:val="single" w:sz="24" w:color="16A34A"/>
            </w:tcBorders>
          </w:tcPr>
          <w:p>
            <w:pPr>
              <w:spacing w:before="160" w:after="40"/>
            </w:pPr>
            <w:r>
              <w:rPr>
                <w:b/>
                <w:color w:val="0B5C32"/>
                <w:sz w:val="18"/>
              </w:rPr>
              <w:t>STEP 3</w:t>
            </w:r>
          </w:p>
          <w:p>
            <w:pPr>
              <w:spacing w:after="80"/>
            </w:pPr>
            <w:r>
              <w:rPr>
                <w:b/>
                <w:color w:val="0F1B14"/>
                <w:sz w:val="24"/>
              </w:rPr>
              <w:t>Guide the member to reply with their preferred option.</w:t>
            </w:r>
          </w:p>
          <w:p>
            <w:pPr>
              <w:spacing w:line="324" w:lineRule="auto" w:after="120"/>
            </w:pPr>
            <w:r>
              <w:rPr>
                <w:color w:val="2E3A33"/>
                <w:sz w:val="21"/>
              </w:rPr>
              <w:t>Option 1 (recommended for most): terminate 05/31/2026, Cigna coverage starts 06/01/2026. Smooth handoff with no gap.</w:t>
            </w:r>
          </w:p>
          <w:p>
            <w:pPr>
              <w:spacing w:line="324" w:lineRule="auto" w:after="120"/>
            </w:pPr>
            <w:r>
              <w:rPr>
                <w:color w:val="2E3A33"/>
                <w:sz w:val="21"/>
              </w:rPr>
              <w:t>Option 2: terminate 04/30/2026, Cigna starts 05/01/2026. Use this if the member wants the new network sooner — note it can take up to 10 business days to appear in all systems.</w:t>
            </w:r>
          </w:p>
        </w:tc>
      </w:tr>
    </w:tbl>
    <w:p>
      <w:pPr>
        <w:spacing w:after="160"/>
      </w:pPr>
    </w:p>
    <w:sectPr w:rsidR="00FC693F" w:rsidRPr="0006063C" w:rsidSect="00034616">
      <w:pgSz w:w="12240" w:h="15840"/>
      <w:pgMar w:top="792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E3A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