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9360"/>
      </w:tblGrid>
      <w:tr>
        <w:trPr>
          <w:trHeight w:val="80" w:hRule="exact"/>
        </w:trPr>
        <w:tc>
          <w:tcPr>
            <w:tcW w:type="dxa" w:w="9360"/>
            <w:shd w:val="clear" w:color="auto" w:fill="16A34A"/>
            <w:tcBorders>
              <w:top w:val="nil"/>
              <w:left w:val="nil"/>
              <w:bottom w:val="nil"/>
              <w:right w:val="nil"/>
            </w:tcBorders>
          </w:tcPr>
          <w:p>
            <w:pPr>
              <w:spacing w:after="0" w:before="0"/>
            </w:pPr>
            <w:r>
              <w:rPr>
                <w:sz w:val="4"/>
              </w:rPr>
            </w:r>
          </w:p>
        </w:tc>
      </w:tr>
    </w:tbl>
    <w:tbl>
      <w:tblPr>
        <w:tblW w:type="auto" w:w="0"/>
        <w:jc w:val="center"/>
        <w:tblLayout w:type="fixed"/>
        <w:tblLook w:firstColumn="1" w:firstRow="1" w:lastColumn="0" w:lastRow="0" w:noHBand="0" w:noVBand="1" w:val="04A0"/>
      </w:tblPr>
      <w:tblGrid>
        <w:gridCol w:w="9792"/>
      </w:tblGrid>
      <w:tr>
        <w:tc>
          <w:tcPr>
            <w:tcW w:type="dxa" w:w="9792"/>
            <w:shd w:val="clear" w:color="auto" w:fill="ECFAF1"/>
            <w:tcBorders>
              <w:top w:val="single" w:sz="8" w:color="16A34A"/>
              <w:left w:val="single" w:sz="8" w:color="16A34A"/>
              <w:bottom w:val="single" w:sz="8" w:color="16A34A"/>
              <w:right w:val="single" w:sz="8" w:color="16A34A"/>
            </w:tcBorders>
            <w:tcW w:w="3475" w:type="dxa"/>
          </w:tcPr>
          <w:p>
            <w:pPr>
              <w:spacing w:before="120" w:after="120"/>
              <w:jc w:val="center"/>
            </w:pPr>
            <w:r>
              <w:rPr>
                <w:b/>
                <w:color w:val="0B5C32"/>
                <w:sz w:val="22"/>
              </w:rPr>
              <w:t>IMPORTANT MEMBER NOTICE</w:t>
            </w:r>
          </w:p>
        </w:tc>
      </w:tr>
    </w:tbl>
    <w:p>
      <w:pPr>
        <w:spacing w:after="160"/>
      </w:pPr>
    </w:p>
    <w:p>
      <w:pPr>
        <w:spacing w:after="40"/>
        <w:jc w:val="center"/>
      </w:pPr>
      <w:r>
        <w:rPr>
          <w:b/>
          <w:color w:val="0F1B14"/>
          <w:sz w:val="52"/>
        </w:rPr>
        <w:t>A CIGNA Network Option</w:t>
      </w:r>
    </w:p>
    <w:p>
      <w:pPr>
        <w:spacing w:after="160"/>
        <w:jc w:val="center"/>
      </w:pPr>
      <w:r>
        <w:rPr>
          <w:b/>
          <w:color w:val="0F1B14"/>
          <w:sz w:val="52"/>
        </w:rPr>
        <w:t>is Available to You</w:t>
      </w:r>
    </w:p>
    <w:p>
      <w:pPr>
        <w:spacing w:after="280"/>
        <w:jc w:val="center"/>
      </w:pPr>
      <w:r>
        <w:rPr>
          <w:i/>
          <w:color w:val="6B7A6F"/>
          <w:sz w:val="20"/>
        </w:rPr>
        <w:t>$today_short</w:t>
      </w:r>
    </w:p>
    <w:p>
      <w:pPr>
        <w:spacing w:before="0" w:after="160"/>
        <w:pBdr>
          <w:bottom w:val="single" w:sz="6" w:space="1" w:color="CDE9D7"/>
        </w:pBdr>
      </w:pPr>
    </w:p>
    <w:p>
      <w:pPr>
        <w:spacing w:after="200"/>
      </w:pPr>
      <w:r>
        <w:rPr>
          <w:b/>
          <w:color w:val="0F1B14"/>
          <w:sz w:val="22"/>
        </w:rPr>
        <w:t>Dear $firstname,</w:t>
      </w:r>
    </w:p>
    <w:p>
      <w:pPr>
        <w:spacing w:after="200" w:line="324" w:lineRule="auto"/>
      </w:pPr>
      <w:r>
        <w:rPr>
          <w:color w:val="2E3A33"/>
          <w:sz w:val="22"/>
        </w:rPr>
        <w:t xml:space="preserve">You recently received a </w:t>
      </w:r>
      <w:hyperlink r:id="rId9">
        <w:r>
          <w:rPr>
            <w:color w:val="0B5C32"/>
            <w:u w:val="single"/>
            <w:b/>
            <w:rFonts w:ascii="Calibri" w:hAnsi="Calibri"/>
            <w:sz w:val="22"/>
          </w:rPr>
          <w:t xml:space="preserve">notice</w:t>
        </w:r>
      </w:hyperlink>
      <w:r>
        <w:rPr>
          <w:color w:val="2E3A33"/>
          <w:sz w:val="22"/>
        </w:rPr>
        <w:t xml:space="preserve"> regarding a change to your plan through HC Data. The letter informed you that your third-party administrator (TPA) has changed from Simplan to Securus Benefits. As a result, your network has also changed from Cigna to the First Health Network.</w:t>
      </w:r>
    </w:p>
    <w:p>
      <w:pPr>
        <w:spacing w:after="200" w:line="324" w:lineRule="auto"/>
      </w:pPr>
      <w:r>
        <w:rPr>
          <w:color w:val="2E3A33"/>
          <w:sz w:val="22"/>
        </w:rPr>
        <w:t>We understand that access to a specific provider network — especially one that includes your preferred providers — is an important factor when selecting your coverage.</w:t>
      </w:r>
    </w:p>
    <w:p>
      <w:pPr>
        <w:spacing w:after="200" w:line="324" w:lineRule="auto"/>
      </w:pPr>
      <w:r>
        <w:rPr>
          <w:color w:val="2E3A33"/>
          <w:sz w:val="22"/>
        </w:rPr>
        <w:t>If you would like access to the CIGNA network, you have the option to join a different group named Ascend Administrators, which has a similar plan for the same price you are currently paying.</w:t>
      </w:r>
    </w:p>
    <w:p>
      <w:pPr>
        <w:spacing w:after="200" w:line="324" w:lineRule="auto"/>
      </w:pPr>
      <w:r>
        <w:rPr>
          <w:b w:val="0"/>
          <w:color w:val="2E3A33"/>
          <w:sz w:val="22"/>
        </w:rPr>
        <w:t xml:space="preserve">If the Ascend program seems like a better fit for you, please review the materials and click the link below to enroll. If you enroll between </w:t>
      </w:r>
      <w:r>
        <w:rPr>
          <w:b/>
          <w:color w:val="0B5C32"/>
          <w:sz w:val="22"/>
        </w:rPr>
        <w:t>May 1, 2026</w:t>
      </w:r>
      <w:r>
        <w:rPr>
          <w:b w:val="0"/>
          <w:color w:val="2E3A33"/>
          <w:sz w:val="22"/>
        </w:rPr>
        <w:t xml:space="preserve"> and </w:t>
      </w:r>
      <w:r>
        <w:rPr>
          <w:b/>
          <w:color w:val="0B5C32"/>
          <w:sz w:val="22"/>
        </w:rPr>
        <w:t>May 25, 2026</w:t>
      </w:r>
      <w:r>
        <w:rPr>
          <w:b w:val="0"/>
          <w:color w:val="2E3A33"/>
          <w:sz w:val="22"/>
        </w:rPr>
        <w:t xml:space="preserve">, your coverage will start </w:t>
      </w:r>
      <w:r>
        <w:rPr>
          <w:b/>
          <w:color w:val="0B5C32"/>
          <w:sz w:val="22"/>
        </w:rPr>
        <w:t>June 1, 2026</w:t>
      </w:r>
      <w:r>
        <w:rPr>
          <w:b w:val="0"/>
          <w:color w:val="2E3A33"/>
          <w:sz w:val="22"/>
        </w:rPr>
        <w:t>.</w:t>
      </w:r>
    </w:p>
    <w:p>
      <w:pPr>
        <w:spacing w:after="240" w:line="324" w:lineRule="auto"/>
      </w:pPr>
      <w:r>
        <w:rPr>
          <w:color w:val="2E3A33"/>
          <w:sz w:val="22"/>
        </w:rPr>
        <w:t>If you decide not to enroll by May 25, 2026, you will stay in your current plan with Securus Benefits and the First Health Network.</w:t>
      </w:r>
    </w:p>
    <w:tbl>
      <w:tblPr>
        <w:tblW w:type="auto" w:w="0"/>
        <w:tblLayout w:type="fixed"/>
        <w:tblLook w:firstColumn="1" w:firstRow="1" w:lastColumn="0" w:lastRow="0" w:noHBand="0" w:noVBand="1" w:val="04A0"/>
      </w:tblPr>
      <w:tblGrid>
        <w:gridCol w:w="9360"/>
      </w:tblGrid>
      <w:tr>
        <w:tc>
          <w:tcPr>
            <w:tcW w:type="dxa" w:w="9360"/>
            <w:shd w:val="clear" w:color="auto" w:fill="ECFAF1"/>
            <w:tcBorders>
              <w:top w:val="single" w:sz="6" w:color="CDE9D7"/>
              <w:left w:val="single" w:sz="6" w:color="CDE9D7"/>
              <w:bottom w:val="single" w:sz="6" w:color="CDE9D7"/>
              <w:right w:val="single" w:sz="6" w:color="CDE9D7"/>
            </w:tcBorders>
          </w:tcPr>
          <w:p>
            <w:pPr>
              <w:spacing w:before="120" w:after="40"/>
            </w:pPr>
            <w:r>
              <w:rPr>
                <w:b/>
                <w:color w:val="0B5C32"/>
                <w:sz w:val="18"/>
              </w:rPr>
              <w:t>OPTIONAL: BACKDATE COVERAGE</w:t>
            </w:r>
          </w:p>
          <w:p>
            <w:pPr>
              <w:spacing w:after="120"/>
            </w:pPr>
            <w:r>
              <w:rPr>
                <w:color w:val="2E3A33"/>
                <w:sz w:val="21"/>
              </w:rPr>
              <w:t>If enrolled by May 10, 2026, you may elect to backdate coverage to May 1, 2026. If backdating is selected, it may take up to 10 business days from enrollment for you to appear in all systems and receive a digital ID card (a hard copy will follow).</w:t>
            </w:r>
          </w:p>
        </w:tc>
      </w:tr>
    </w:tbl>
    <w:p>
      <w:pPr>
        <w:spacing w:after="200"/>
      </w:pPr>
    </w:p>
    <w:tbl>
      <w:tblPr>
        <w:tblW w:type="auto" w:w="0"/>
        <w:jc w:val="center"/>
        <w:tblLook w:firstColumn="1" w:firstRow="1" w:lastColumn="0" w:lastRow="0" w:noHBand="0" w:noVBand="1" w:val="04A0"/>
      </w:tblPr>
      <w:tblGrid>
        <w:gridCol w:w="9792"/>
      </w:tblGrid>
      <w:tr>
        <w:tc>
          <w:tcPr>
            <w:tcW w:type="dxa" w:w="9792"/>
            <w:shd w:val="clear" w:color="auto" w:fill="16A34A"/>
            <w:tcBorders>
              <w:top w:val="nil"/>
              <w:left w:val="nil"/>
              <w:bottom w:val="nil"/>
              <w:right w:val="nil"/>
            </w:tcBorders>
            <w:tcW w:w="5400" w:type="dxa"/>
          </w:tcPr>
          <w:p>
            <w:pPr>
              <w:spacing w:before="160" w:after="160"/>
              <w:jc w:val="center"/>
            </w:pPr>
            <w:hyperlink r:id="rId10">
              <w:r>
                <w:rPr>
                  <w:color w:val="FFFFFF"/>
                  <w:b/>
                  <w:rFonts w:ascii="Calibri" w:hAnsi="Calibri"/>
                  <w:sz w:val="24"/>
                </w:rPr>
                <w:t xml:space="preserve">Review &amp; Enroll in the Ascend Plan  →</w:t>
              </w:r>
            </w:hyperlink>
          </w:p>
        </w:tc>
      </w:tr>
    </w:tbl>
    <w:p>
      <w:pPr>
        <w:spacing w:after="280"/>
        <w:jc w:val="center"/>
      </w:pPr>
      <w:r>
        <w:rPr>
          <w:i/>
          <w:color w:val="6B7A6F"/>
          <w:sz w:val="18"/>
        </w:rPr>
        <w:t>Enrollment closes May 25, 2026</w:t>
      </w:r>
    </w:p>
    <w:p>
      <w:pPr>
        <w:spacing w:before="80" w:after="120"/>
      </w:pPr>
      <w:r>
        <w:rPr>
          <w:b/>
          <w:color w:val="16A34A"/>
          <w:sz w:val="18"/>
        </w:rPr>
        <w:t>PLAN COMPARISON</w:t>
      </w:r>
    </w:p>
    <w:tbl>
      <w:tblPr>
        <w:tblW w:type="auto" w:w="0"/>
        <w:tblLayout w:type="fixed"/>
        <w:tblLook w:firstColumn="1" w:firstRow="1" w:lastColumn="0" w:lastRow="0" w:noHBand="0" w:noVBand="1" w:val="04A0"/>
      </w:tblPr>
      <w:tblGrid>
        <w:gridCol w:w="2880"/>
        <w:gridCol w:w="3240"/>
        <w:gridCol w:w="3240"/>
      </w:tblGrid>
      <w:tr>
        <w:tc>
          <w:tcPr>
            <w:tcW w:type="dxa" w:w="2880"/>
            <w:shd w:val="clear" w:color="auto" w:fill="0B5C32"/>
            <w:tcBorders>
              <w:top w:val="single" w:sz="4" w:color="0B5C32"/>
              <w:left w:val="single" w:sz="4" w:color="0B5C32"/>
              <w:bottom w:val="single" w:sz="4" w:color="0B5C32"/>
              <w:right w:val="single" w:sz="4" w:color="0B5C32"/>
            </w:tcBorders>
          </w:tcPr>
          <w:p>
            <w:pPr>
              <w:spacing w:before="80" w:after="80"/>
            </w:pPr>
            <w:r>
              <w:rPr>
                <w:b/>
                <w:color w:val="FFFFFF"/>
                <w:sz w:val="20"/>
              </w:rPr>
              <w:t>Plan Information</w:t>
            </w:r>
          </w:p>
        </w:tc>
        <w:tc>
          <w:tcPr>
            <w:tcW w:type="dxa" w:w="3240"/>
            <w:shd w:val="clear" w:color="auto" w:fill="0B5C32"/>
            <w:tcBorders>
              <w:top w:val="single" w:sz="4" w:color="0B5C32"/>
              <w:left w:val="single" w:sz="4" w:color="0B5C32"/>
              <w:bottom w:val="single" w:sz="4" w:color="0B5C32"/>
              <w:right w:val="single" w:sz="4" w:color="0B5C32"/>
            </w:tcBorders>
          </w:tcPr>
          <w:p>
            <w:pPr>
              <w:spacing w:before="80" w:after="80"/>
            </w:pPr>
            <w:r>
              <w:rPr>
                <w:b/>
                <w:color w:val="FFFFFF"/>
                <w:sz w:val="20"/>
              </w:rPr>
              <w:t>Basic (current)</w:t>
            </w:r>
          </w:p>
        </w:tc>
        <w:tc>
          <w:tcPr>
            <w:tcW w:type="dxa" w:w="3240"/>
            <w:shd w:val="clear" w:color="auto" w:fill="0B5C32"/>
            <w:tcBorders>
              <w:top w:val="single" w:sz="4" w:color="0B5C32"/>
              <w:left w:val="single" w:sz="4" w:color="0B5C32"/>
              <w:bottom w:val="single" w:sz="4" w:color="0B5C32"/>
              <w:right w:val="single" w:sz="4" w:color="0B5C32"/>
            </w:tcBorders>
          </w:tcPr>
          <w:p>
            <w:pPr>
              <w:spacing w:before="80" w:after="80"/>
            </w:pPr>
            <w:r>
              <w:rPr>
                <w:b/>
                <w:color w:val="FFFFFF"/>
                <w:sz w:val="20"/>
              </w:rPr>
              <w:t>Basic Access (new option)</w:t>
            </w:r>
          </w:p>
        </w:tc>
      </w:tr>
      <w:tr>
        <w:tc>
          <w:tcPr>
            <w:tcW w:type="dxa" w:w="2880"/>
            <w:shd w:val="clear" w:color="auto" w:fill="FFFFFF"/>
            <w:tcBorders>
              <w:top w:val="single" w:sz="4" w:color="CDE9D7"/>
              <w:left w:val="single" w:sz="4" w:color="CDE9D7"/>
              <w:bottom w:val="single" w:sz="4" w:color="CDE9D7"/>
              <w:right w:val="single" w:sz="4" w:color="CDE9D7"/>
            </w:tcBorders>
          </w:tcPr>
          <w:p>
            <w:pPr>
              <w:spacing w:before="80" w:after="80"/>
            </w:pPr>
            <w:r>
              <w:rPr>
                <w:b/>
                <w:color w:val="0F1B14"/>
                <w:sz w:val="21"/>
              </w:rPr>
              <w:t>Group</w:t>
            </w:r>
          </w:p>
        </w:tc>
        <w:tc>
          <w:tcPr>
            <w:tcW w:type="dxa" w:w="3240"/>
            <w:shd w:val="clear" w:color="auto" w:fill="FFFFFF"/>
            <w:tcBorders>
              <w:top w:val="single" w:sz="4" w:color="CDE9D7"/>
              <w:left w:val="single" w:sz="4" w:color="CDE9D7"/>
              <w:bottom w:val="single" w:sz="4" w:color="CDE9D7"/>
              <w:right w:val="single" w:sz="4" w:color="CDE9D7"/>
            </w:tcBorders>
          </w:tcPr>
          <w:p>
            <w:pPr>
              <w:spacing w:before="80" w:after="80"/>
            </w:pPr>
            <w:r>
              <w:rPr>
                <w:color w:val="2E3A33"/>
                <w:sz w:val="21"/>
              </w:rPr>
              <w:t>HC Data</w:t>
            </w:r>
            <w:r>
              <w:rPr>
                <w:color w:val="6B7A6F"/>
                <w:sz w:val="20"/>
              </w:rPr>
              <w:t xml:space="preserve"> (Securus)</w:t>
            </w:r>
          </w:p>
        </w:tc>
        <w:tc>
          <w:tcPr>
            <w:tcW w:type="dxa" w:w="3240"/>
            <w:shd w:val="clear" w:color="auto" w:fill="FFFFFF"/>
            <w:tcBorders>
              <w:top w:val="single" w:sz="4" w:color="CDE9D7"/>
              <w:left w:val="single" w:sz="4" w:color="CDE9D7"/>
              <w:bottom w:val="single" w:sz="4" w:color="CDE9D7"/>
              <w:right w:val="single" w:sz="4" w:color="CDE9D7"/>
            </w:tcBorders>
          </w:tcPr>
          <w:p>
            <w:pPr>
              <w:spacing w:before="80" w:after="80"/>
            </w:pPr>
            <w:r>
              <w:rPr>
                <w:color w:val="2E3A33"/>
                <w:sz w:val="21"/>
              </w:rPr>
              <w:t>Ascend</w:t>
            </w:r>
            <w:r>
              <w:rPr>
                <w:color w:val="6B7A6F"/>
                <w:sz w:val="20"/>
              </w:rPr>
              <w:t xml:space="preserve"> (The Health Plan)</w:t>
            </w:r>
          </w:p>
        </w:tc>
      </w:tr>
      <w:tr>
        <w:tc>
          <w:tcPr>
            <w:tcW w:type="dxa" w:w="2880"/>
            <w:shd w:val="clear" w:color="auto" w:fill="FAFCFA"/>
            <w:tcBorders>
              <w:top w:val="single" w:sz="4" w:color="CDE9D7"/>
              <w:left w:val="single" w:sz="4" w:color="CDE9D7"/>
              <w:bottom w:val="single" w:sz="4" w:color="CDE9D7"/>
              <w:right w:val="single" w:sz="4" w:color="CDE9D7"/>
            </w:tcBorders>
          </w:tcPr>
          <w:p>
            <w:pPr>
              <w:spacing w:before="80" w:after="80"/>
            </w:pPr>
            <w:r>
              <w:rPr>
                <w:b/>
                <w:color w:val="0F1B14"/>
                <w:sz w:val="21"/>
              </w:rPr>
              <w:t>Schedule of Benefits</w:t>
            </w:r>
          </w:p>
        </w:tc>
        <w:tc>
          <w:tcPr>
            <w:tcW w:type="dxa" w:w="3240"/>
            <w:shd w:val="clear" w:color="auto" w:fill="FAFCFA"/>
            <w:tcBorders>
              <w:top w:val="single" w:sz="4" w:color="CDE9D7"/>
              <w:left w:val="single" w:sz="4" w:color="CDE9D7"/>
              <w:bottom w:val="single" w:sz="4" w:color="CDE9D7"/>
              <w:right w:val="single" w:sz="4" w:color="CDE9D7"/>
            </w:tcBorders>
          </w:tcPr>
          <w:p>
            <w:pPr>
              <w:spacing w:before="80" w:after="80"/>
            </w:pPr>
            <w:r>
              <w:rPr>
                <w:i/>
                <w:color w:val="6B7A6F"/>
                <w:sz w:val="20"/>
              </w:rPr>
              <w:t>Link coming soon</w:t>
            </w:r>
          </w:p>
        </w:tc>
        <w:tc>
          <w:tcPr>
            <w:tcW w:type="dxa" w:w="3240"/>
            <w:shd w:val="clear" w:color="auto" w:fill="FAFCFA"/>
            <w:tcBorders>
              <w:top w:val="single" w:sz="4" w:color="CDE9D7"/>
              <w:left w:val="single" w:sz="4" w:color="CDE9D7"/>
              <w:bottom w:val="single" w:sz="4" w:color="CDE9D7"/>
              <w:right w:val="single" w:sz="4" w:color="CDE9D7"/>
            </w:tcBorders>
          </w:tcPr>
          <w:p>
            <w:pPr>
              <w:spacing w:before="80" w:after="80"/>
            </w:pPr>
            <w:r>
              <w:rPr>
                <w:i/>
                <w:color w:val="6B7A6F"/>
                <w:sz w:val="20"/>
              </w:rPr>
              <w:t>Link coming soon</w:t>
            </w:r>
          </w:p>
        </w:tc>
      </w:tr>
      <w:tr>
        <w:tc>
          <w:tcPr>
            <w:tcW w:type="dxa" w:w="2880"/>
            <w:shd w:val="clear" w:color="auto" w:fill="FFFFFF"/>
            <w:tcBorders>
              <w:top w:val="single" w:sz="4" w:color="CDE9D7"/>
              <w:left w:val="single" w:sz="4" w:color="CDE9D7"/>
              <w:bottom w:val="single" w:sz="4" w:color="CDE9D7"/>
              <w:right w:val="single" w:sz="4" w:color="CDE9D7"/>
            </w:tcBorders>
          </w:tcPr>
          <w:p>
            <w:pPr>
              <w:spacing w:before="80" w:after="80"/>
            </w:pPr>
            <w:r>
              <w:rPr>
                <w:b/>
                <w:color w:val="0F1B14"/>
                <w:sz w:val="21"/>
              </w:rPr>
              <w:t>Network</w:t>
            </w:r>
          </w:p>
        </w:tc>
        <w:tc>
          <w:tcPr>
            <w:tcW w:type="dxa" w:w="3240"/>
            <w:shd w:val="clear" w:color="auto" w:fill="FFFFFF"/>
            <w:tcBorders>
              <w:top w:val="single" w:sz="4" w:color="CDE9D7"/>
              <w:left w:val="single" w:sz="4" w:color="CDE9D7"/>
              <w:bottom w:val="single" w:sz="4" w:color="CDE9D7"/>
              <w:right w:val="single" w:sz="4" w:color="CDE9D7"/>
            </w:tcBorders>
          </w:tcPr>
          <w:p>
            <w:pPr>
              <w:spacing w:before="80" w:after="80"/>
            </w:pPr>
            <w:hyperlink r:id="rId11">
              <w:r>
                <w:rPr>
                  <w:color w:val="0B5C32"/>
                  <w:u w:val="single"/>
                  <w:b/>
                  <w:rFonts w:ascii="Calibri" w:hAnsi="Calibri"/>
                  <w:sz w:val="21"/>
                </w:rPr>
                <w:t xml:space="preserve">First Health Network</w:t>
              </w:r>
            </w:hyperlink>
          </w:p>
        </w:tc>
        <w:tc>
          <w:tcPr>
            <w:tcW w:type="dxa" w:w="3240"/>
            <w:shd w:val="clear" w:color="auto" w:fill="FFFFFF"/>
            <w:tcBorders>
              <w:top w:val="single" w:sz="4" w:color="CDE9D7"/>
              <w:left w:val="single" w:sz="4" w:color="CDE9D7"/>
              <w:bottom w:val="single" w:sz="4" w:color="CDE9D7"/>
              <w:right w:val="single" w:sz="4" w:color="CDE9D7"/>
            </w:tcBorders>
          </w:tcPr>
          <w:p>
            <w:pPr>
              <w:spacing w:before="80" w:after="80"/>
            </w:pPr>
            <w:hyperlink r:id="rId12">
              <w:r>
                <w:rPr>
                  <w:color w:val="0B5C32"/>
                  <w:u w:val="single"/>
                  <w:b/>
                  <w:rFonts w:ascii="Calibri" w:hAnsi="Calibri"/>
                  <w:sz w:val="21"/>
                </w:rPr>
                <w:t xml:space="preserve">Cigna</w:t>
              </w:r>
            </w:hyperlink>
          </w:p>
        </w:tc>
      </w:tr>
      <w:tr>
        <w:tc>
          <w:tcPr>
            <w:tcW w:type="dxa" w:w="2880"/>
            <w:shd w:val="clear" w:color="auto" w:fill="FAFCFA"/>
            <w:tcBorders>
              <w:top w:val="single" w:sz="4" w:color="CDE9D7"/>
              <w:left w:val="single" w:sz="4" w:color="CDE9D7"/>
              <w:bottom w:val="single" w:sz="4" w:color="CDE9D7"/>
              <w:right w:val="single" w:sz="4" w:color="CDE9D7"/>
            </w:tcBorders>
          </w:tcPr>
          <w:p>
            <w:pPr>
              <w:spacing w:before="80" w:after="80"/>
            </w:pPr>
            <w:r>
              <w:rPr>
                <w:b/>
                <w:color w:val="0F1B14"/>
                <w:sz w:val="21"/>
              </w:rPr>
              <w:t>Formulary</w:t>
            </w:r>
          </w:p>
        </w:tc>
        <w:tc>
          <w:tcPr>
            <w:tcW w:type="dxa" w:w="3240"/>
            <w:shd w:val="clear" w:color="auto" w:fill="FAFCFA"/>
            <w:tcBorders>
              <w:top w:val="single" w:sz="4" w:color="CDE9D7"/>
              <w:left w:val="single" w:sz="4" w:color="CDE9D7"/>
              <w:bottom w:val="single" w:sz="4" w:color="CDE9D7"/>
              <w:right w:val="single" w:sz="4" w:color="CDE9D7"/>
            </w:tcBorders>
          </w:tcPr>
          <w:p>
            <w:pPr>
              <w:spacing w:before="80" w:after="80"/>
            </w:pPr>
            <w:hyperlink r:id="rId13">
              <w:r>
                <w:rPr>
                  <w:color w:val="0B5C32"/>
                  <w:u w:val="single"/>
                  <w:b/>
                  <w:rFonts w:ascii="Calibri" w:hAnsi="Calibri"/>
                  <w:sz w:val="21"/>
                </w:rPr>
                <w:t xml:space="preserve">DisclosedRx</w:t>
              </w:r>
            </w:hyperlink>
          </w:p>
        </w:tc>
        <w:tc>
          <w:tcPr>
            <w:tcW w:type="dxa" w:w="3240"/>
            <w:shd w:val="clear" w:color="auto" w:fill="FAFCFA"/>
            <w:tcBorders>
              <w:top w:val="single" w:sz="4" w:color="CDE9D7"/>
              <w:left w:val="single" w:sz="4" w:color="CDE9D7"/>
              <w:bottom w:val="single" w:sz="4" w:color="CDE9D7"/>
              <w:right w:val="single" w:sz="4" w:color="CDE9D7"/>
            </w:tcBorders>
          </w:tcPr>
          <w:p>
            <w:pPr>
              <w:spacing w:before="80" w:after="80"/>
            </w:pPr>
            <w:hyperlink r:id="rId14">
              <w:r>
                <w:rPr>
                  <w:color w:val="0B5C32"/>
                  <w:u w:val="single"/>
                  <w:b/>
                  <w:rFonts w:ascii="Calibri" w:hAnsi="Calibri"/>
                  <w:sz w:val="21"/>
                </w:rPr>
                <w:t xml:space="preserve">THP</w:t>
              </w:r>
            </w:hyperlink>
          </w:p>
        </w:tc>
      </w:tr>
    </w:tbl>
    <w:p>
      <w:pPr>
        <w:spacing w:after="240"/>
      </w:pPr>
    </w:p>
    <w:tbl>
      <w:tblPr>
        <w:tblW w:type="auto" w:w="0"/>
        <w:tblLayout w:type="fixed"/>
        <w:tblLook w:firstColumn="1" w:firstRow="1" w:lastColumn="0" w:lastRow="0" w:noHBand="0" w:noVBand="1" w:val="04A0"/>
      </w:tblPr>
      <w:tblGrid>
        <w:gridCol w:w="9360"/>
      </w:tblGrid>
      <w:tr>
        <w:tc>
          <w:tcPr>
            <w:tcW w:type="dxa" w:w="9360"/>
            <w:shd w:val="clear" w:color="auto" w:fill="FFFAEB"/>
            <w:tcBorders>
              <w:top w:val="single" w:sz="4" w:color="F8DC8B"/>
              <w:right w:val="single" w:sz="4" w:color="F8DC8B"/>
              <w:bottom w:val="single" w:sz="4" w:color="F8DC8B"/>
              <w:left w:val="single" w:sz="18" w:color="E0A024"/>
            </w:tcBorders>
          </w:tcPr>
          <w:p>
            <w:pPr>
              <w:spacing w:before="120" w:after="120"/>
            </w:pPr>
            <w:r>
              <w:rPr>
                <w:b/>
                <w:color w:val="3F2E07"/>
                <w:sz w:val="21"/>
              </w:rPr>
              <w:t xml:space="preserve">Please note: </w:t>
            </w:r>
            <w:r>
              <w:rPr>
                <w:color w:val="5C4514"/>
                <w:sz w:val="21"/>
              </w:rPr>
              <w:t>If you choose to backdate coverage with your transition to the new TPA (The Health Plan with the Cigna network), you may experience a delay of being in all systems for up to 10 business days.</w:t>
            </w:r>
          </w:p>
        </w:tc>
      </w:tr>
    </w:tbl>
    <w:p>
      <w:pPr>
        <w:spacing w:after="200"/>
      </w:pPr>
    </w:p>
    <w:p>
      <w:pPr>
        <w:spacing w:line="324" w:lineRule="auto" w:after="280"/>
      </w:pPr>
      <w:r>
        <w:rPr>
          <w:color w:val="2E3A33"/>
          <w:sz w:val="22"/>
        </w:rPr>
        <w:t>If you have any questions or would like assistance reviewing your options, please don't hesitate to reach out.</w:t>
      </w:r>
    </w:p>
    <w:p>
      <w:pPr>
        <w:spacing w:after="40"/>
      </w:pPr>
      <w:r>
        <w:rPr>
          <w:color w:val="0F1B14"/>
          <w:sz w:val="22"/>
        </w:rPr>
        <w:t>Best regards,</w:t>
      </w:r>
    </w:p>
    <w:p>
      <w:pPr>
        <w:spacing w:after="40"/>
      </w:pPr>
      <w:r>
        <w:rPr>
          <w:b/>
          <w:color w:val="0F1B14"/>
          <w:sz w:val="22"/>
        </w:rPr>
        <w:t>Enroll Prime Support</w:t>
      </w:r>
    </w:p>
    <w:p>
      <w:pPr>
        <w:spacing w:after="0"/>
      </w:pPr>
      <w:r>
        <w:rPr>
          <w:i/>
          <w:color w:val="2E3A33"/>
          <w:sz w:val="21"/>
        </w:rPr>
        <w:t>$signaturelink</w:t>
      </w:r>
    </w:p>
    <w:p>
      <w:pPr>
        <w:spacing w:before="360" w:after="160"/>
        <w:pBdr>
          <w:bottom w:val="single" w:sz="6" w:space="1" w:color="CDE9D7"/>
        </w:pBdr>
      </w:pPr>
    </w:p>
    <w:tbl>
      <w:tblPr>
        <w:tblW w:type="auto" w:w="0"/>
        <w:tblLayout w:type="fixed"/>
        <w:tblLook w:firstColumn="1" w:firstRow="1" w:lastColumn="0" w:lastRow="0" w:noHBand="0" w:noVBand="1" w:val="04A0"/>
      </w:tblPr>
      <w:tblGrid>
        <w:gridCol w:w="5040"/>
        <w:gridCol w:w="4320"/>
      </w:tblGrid>
      <w:tr>
        <w:tc>
          <w:tcPr>
            <w:tcW w:type="dxa" w:w="5040"/>
            <w:tcBorders>
              <w:top w:val="nil"/>
              <w:left w:val="nil"/>
              <w:bottom w:val="nil"/>
              <w:right w:val="nil"/>
            </w:tcBorders>
          </w:tcPr>
          <w:p>
            <w:r>
              <w:rPr>
                <w:b/>
                <w:color w:val="0B5C32"/>
                <w:sz w:val="20"/>
              </w:rPr>
              <w:t>Enroll Prime Customer Service</w:t>
            </w:r>
          </w:p>
          <w:p>
            <w:pPr>
              <w:spacing w:after="0"/>
            </w:pPr>
            <w:r>
              <w:rPr>
                <w:color w:val="6B7A6F"/>
                <w:sz w:val="18"/>
              </w:rPr>
              <w:t>Mon–Fri: 9:00am – 5:00pm</w:t>
            </w:r>
          </w:p>
          <w:p>
            <w:pPr>
              <w:spacing w:after="0"/>
            </w:pPr>
            <w:hyperlink r:id="rId15">
              <w:r>
                <w:rPr>
                  <w:color w:val="0B5C32"/>
                  <w:u w:val="single"/>
                  <w:b/>
                  <w:rFonts w:ascii="Calibri" w:hAnsi="Calibri"/>
                  <w:sz w:val="20"/>
                </w:rPr>
                <w:t xml:space="preserve">888-235-1299</w:t>
              </w:r>
            </w:hyperlink>
            <w:r>
              <w:rPr>
                <w:color w:val="6B7A6F"/>
                <w:sz w:val="18"/>
              </w:rPr>
              <w:t xml:space="preserve">  ·  </w:t>
            </w:r>
            <w:hyperlink r:id="rId16">
              <w:r>
                <w:rPr>
                  <w:color w:val="0B5C32"/>
                  <w:u w:val="single"/>
                  <w:rFonts w:ascii="Calibri" w:hAnsi="Calibri"/>
                  <w:sz w:val="20"/>
                </w:rPr>
                <w:t xml:space="preserve">Support@EnrollPrime.com</w:t>
              </w:r>
            </w:hyperlink>
          </w:p>
        </w:tc>
        <w:tc>
          <w:tcPr>
            <w:tcW w:type="dxa" w:w="4320"/>
            <w:tcBorders>
              <w:top w:val="nil"/>
              <w:left w:val="nil"/>
              <w:bottom w:val="nil"/>
              <w:right w:val="nil"/>
            </w:tcBorders>
          </w:tcPr>
          <w:p>
            <w:pPr>
              <w:jc w:val="right"/>
            </w:pPr>
            <w:r>
              <w:rPr>
                <w:color w:val="6B7A6F"/>
                <w:sz w:val="17"/>
              </w:rPr>
              <w:t>Sent on behalf of MedAccess.</w:t>
            </w:r>
          </w:p>
          <w:p>
            <w:pPr>
              <w:spacing w:after="0"/>
              <w:jc w:val="right"/>
            </w:pPr>
            <w:r>
              <w:rPr>
                <w:color w:val="6B7A6F"/>
                <w:sz w:val="17"/>
              </w:rPr>
              <w:t>Please do not reply to this automated address.</w:t>
            </w:r>
          </w:p>
        </w:tc>
      </w:tr>
    </w:tbl>
    <w:sectPr w:rsidR="00FC693F" w:rsidRPr="0006063C" w:rsidSect="00034616">
      <w:pgSz w:w="12240" w:h="15840"/>
      <w:pgMar w:top="720"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E3A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1enrollment.com/media/1391/MedAccess_Securus_Transition.pdf" TargetMode="External"/><Relationship Id="rId10" Type="http://schemas.openxmlformats.org/officeDocument/2006/relationships/hyperlink" Target="$signaturelink" TargetMode="External"/><Relationship Id="rId11" Type="http://schemas.openxmlformats.org/officeDocument/2006/relationships/hyperlink" Target="https://enrollment123.com/media/1391/FHN_FindProvider.pdf" TargetMode="External"/><Relationship Id="rId12" Type="http://schemas.openxmlformats.org/officeDocument/2006/relationships/hyperlink" Target="https://www.1enrollment.com/media/1391/Cigna%20Provider%20Lookup%20Instructions.pdf" TargetMode="External"/><Relationship Id="rId13" Type="http://schemas.openxmlformats.org/officeDocument/2006/relationships/hyperlink" Target="https://1enrollment.com/media/1391/MedAccess_Formulary_04_28_26.pdf" TargetMode="External"/><Relationship Id="rId14" Type="http://schemas.openxmlformats.org/officeDocument/2006/relationships/hyperlink" Target="https://1enrollment.com/media/1391/MedAccess_Formulary_2_04_28_26.pdf" TargetMode="External"/><Relationship Id="rId15" Type="http://schemas.openxmlformats.org/officeDocument/2006/relationships/hyperlink" Target="tel:8882351299" TargetMode="External"/><Relationship Id="rId16" Type="http://schemas.openxmlformats.org/officeDocument/2006/relationships/hyperlink" Target="mailto:Support@EnrollPri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